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DB0" w:rsidRDefault="00C84DB0" w:rsidP="00692900"/>
    <w:p w:rsidR="004F68B7" w:rsidRDefault="004F68B7" w:rsidP="004F68B7">
      <w:pPr>
        <w:keepNext/>
        <w:jc w:val="center"/>
        <w:outlineLvl w:val="0"/>
        <w:rPr>
          <w:b/>
          <w:bCs/>
          <w:sz w:val="40"/>
          <w:szCs w:val="40"/>
        </w:rPr>
      </w:pPr>
    </w:p>
    <w:p w:rsidR="004F68B7" w:rsidRDefault="004F68B7" w:rsidP="004F68B7">
      <w:pPr>
        <w:keepNext/>
        <w:jc w:val="center"/>
        <w:outlineLvl w:val="0"/>
        <w:rPr>
          <w:b/>
          <w:bCs/>
          <w:sz w:val="40"/>
          <w:szCs w:val="40"/>
        </w:rPr>
      </w:pPr>
    </w:p>
    <w:p w:rsidR="004F68B7" w:rsidRDefault="004F68B7" w:rsidP="004F68B7">
      <w:pPr>
        <w:keepNext/>
        <w:jc w:val="center"/>
        <w:outlineLvl w:val="0"/>
        <w:rPr>
          <w:b/>
          <w:bCs/>
          <w:sz w:val="40"/>
          <w:szCs w:val="40"/>
        </w:rPr>
      </w:pPr>
    </w:p>
    <w:p w:rsidR="004F68B7" w:rsidRDefault="004F68B7" w:rsidP="004F68B7">
      <w:pPr>
        <w:keepNext/>
        <w:jc w:val="center"/>
        <w:outlineLvl w:val="0"/>
        <w:rPr>
          <w:b/>
          <w:bCs/>
          <w:sz w:val="40"/>
          <w:szCs w:val="40"/>
        </w:rPr>
      </w:pPr>
    </w:p>
    <w:p w:rsidR="004F68B7" w:rsidRPr="004F68B7" w:rsidRDefault="004F68B7" w:rsidP="004F68B7">
      <w:pPr>
        <w:keepNext/>
        <w:jc w:val="center"/>
        <w:outlineLvl w:val="0"/>
        <w:rPr>
          <w:b/>
          <w:bCs/>
          <w:sz w:val="40"/>
          <w:szCs w:val="40"/>
        </w:rPr>
      </w:pPr>
      <w:r w:rsidRPr="004F68B7">
        <w:rPr>
          <w:b/>
          <w:bCs/>
          <w:sz w:val="40"/>
          <w:szCs w:val="40"/>
        </w:rPr>
        <w:t>CHILD LABOR LAW</w:t>
      </w:r>
    </w:p>
    <w:p w:rsidR="004F68B7" w:rsidRPr="004F68B7" w:rsidRDefault="004F68B7" w:rsidP="004F68B7">
      <w:pPr>
        <w:keepNext/>
        <w:jc w:val="center"/>
        <w:outlineLvl w:val="0"/>
        <w:rPr>
          <w:b/>
          <w:bCs/>
          <w:sz w:val="40"/>
          <w:szCs w:val="40"/>
        </w:rPr>
      </w:pPr>
      <w:r w:rsidRPr="004F68B7">
        <w:rPr>
          <w:b/>
          <w:bCs/>
          <w:color w:val="000000"/>
          <w:sz w:val="28"/>
          <w:szCs w:val="28"/>
        </w:rPr>
        <w:t>820 ILCS 205/1</w:t>
      </w:r>
      <w:r w:rsidR="005C6144">
        <w:rPr>
          <w:b/>
          <w:bCs/>
          <w:color w:val="000000"/>
          <w:sz w:val="28"/>
          <w:szCs w:val="28"/>
        </w:rPr>
        <w:t>8.2</w:t>
      </w:r>
      <w:bookmarkStart w:id="0" w:name="_GoBack"/>
      <w:bookmarkEnd w:id="0"/>
    </w:p>
    <w:p w:rsidR="004F68B7" w:rsidRPr="004F68B7" w:rsidRDefault="004F68B7" w:rsidP="004F68B7">
      <w:pPr>
        <w:jc w:val="center"/>
        <w:rPr>
          <w:sz w:val="32"/>
        </w:rPr>
      </w:pPr>
    </w:p>
    <w:p w:rsidR="004F68B7" w:rsidRPr="004F68B7" w:rsidRDefault="004F68B7" w:rsidP="004F68B7">
      <w:pPr>
        <w:jc w:val="center"/>
        <w:rPr>
          <w:b/>
          <w:sz w:val="28"/>
        </w:rPr>
      </w:pPr>
      <w:r w:rsidRPr="004F68B7">
        <w:rPr>
          <w:b/>
          <w:sz w:val="28"/>
        </w:rPr>
        <w:t>2019 Annual Report</w:t>
      </w:r>
    </w:p>
    <w:p w:rsidR="004F68B7" w:rsidRPr="004F68B7" w:rsidRDefault="004F68B7" w:rsidP="004F68B7">
      <w:pPr>
        <w:jc w:val="center"/>
        <w:rPr>
          <w:b/>
          <w:sz w:val="28"/>
        </w:rPr>
      </w:pPr>
      <w:r w:rsidRPr="004F68B7">
        <w:rPr>
          <w:b/>
          <w:sz w:val="28"/>
        </w:rPr>
        <w:t>Administration and Enforcement Activities</w:t>
      </w:r>
    </w:p>
    <w:p w:rsidR="004F68B7" w:rsidRPr="004F68B7" w:rsidRDefault="004F68B7" w:rsidP="004F68B7">
      <w:pPr>
        <w:pBdr>
          <w:top w:val="single" w:sz="4" w:space="12" w:color="auto"/>
          <w:left w:val="single" w:sz="4" w:space="4" w:color="auto"/>
          <w:bottom w:val="single" w:sz="4" w:space="5" w:color="auto"/>
          <w:right w:val="single" w:sz="4" w:space="2" w:color="auto"/>
        </w:pBdr>
        <w:jc w:val="center"/>
        <w:rPr>
          <w:b/>
          <w:bCs/>
        </w:rPr>
      </w:pPr>
      <w:r w:rsidRPr="004F68B7">
        <w:rPr>
          <w:b/>
          <w:bCs/>
        </w:rPr>
        <w:br w:type="page"/>
      </w:r>
      <w:r w:rsidRPr="004F68B7">
        <w:rPr>
          <w:b/>
          <w:bCs/>
        </w:rPr>
        <w:lastRenderedPageBreak/>
        <w:t>I. INTRODUCTION</w:t>
      </w:r>
    </w:p>
    <w:p w:rsidR="004F68B7" w:rsidRPr="004F68B7" w:rsidRDefault="004F68B7" w:rsidP="004F68B7">
      <w:pPr>
        <w:jc w:val="both"/>
      </w:pPr>
    </w:p>
    <w:p w:rsidR="004F68B7" w:rsidRPr="00B75A52" w:rsidRDefault="004F68B7" w:rsidP="004F68B7">
      <w:pPr>
        <w:rPr>
          <w:bCs/>
          <w:sz w:val="22"/>
          <w:szCs w:val="22"/>
        </w:rPr>
      </w:pPr>
      <w:r w:rsidRPr="00B75A52">
        <w:rPr>
          <w:bCs/>
          <w:sz w:val="22"/>
          <w:szCs w:val="22"/>
        </w:rPr>
        <w:t xml:space="preserve">The Illinois Child Labor Law regulates the employment of workers under the age of 16 and prohibits most work by children under the age of 14. The Illinois Department of Labor (the Department) through its Fair Labor Standards Division administers and enforces the Child Labor Law. In accordance with 820 ILCS 205/18.2, the Department is required to file a report with the General Assembly by January 1 </w:t>
      </w:r>
      <w:r w:rsidR="003F56E6" w:rsidRPr="00B75A52">
        <w:rPr>
          <w:bCs/>
          <w:sz w:val="22"/>
          <w:szCs w:val="22"/>
        </w:rPr>
        <w:t xml:space="preserve">of </w:t>
      </w:r>
      <w:r w:rsidRPr="00B75A52">
        <w:rPr>
          <w:bCs/>
          <w:sz w:val="22"/>
          <w:szCs w:val="22"/>
        </w:rPr>
        <w:t xml:space="preserve">each year summarizing its activities regarding administration and enforcement of this law for the preceding fiscal year. </w:t>
      </w:r>
    </w:p>
    <w:p w:rsidR="004F68B7" w:rsidRPr="004F68B7" w:rsidRDefault="004F68B7" w:rsidP="004F68B7">
      <w:pPr>
        <w:jc w:val="both"/>
      </w:pPr>
    </w:p>
    <w:p w:rsidR="004F68B7" w:rsidRPr="004F68B7" w:rsidRDefault="004F68B7" w:rsidP="004F68B7">
      <w:pPr>
        <w:pBdr>
          <w:top w:val="single" w:sz="4" w:space="7" w:color="auto"/>
          <w:left w:val="single" w:sz="4" w:space="4" w:color="auto"/>
          <w:bottom w:val="single" w:sz="4" w:space="5" w:color="auto"/>
          <w:right w:val="single" w:sz="4" w:space="2" w:color="auto"/>
        </w:pBdr>
        <w:spacing w:before="40"/>
        <w:jc w:val="center"/>
        <w:rPr>
          <w:b/>
          <w:bCs/>
        </w:rPr>
      </w:pPr>
      <w:r w:rsidRPr="004F68B7">
        <w:rPr>
          <w:b/>
          <w:bCs/>
        </w:rPr>
        <w:t>II. ADMINISTRATION</w:t>
      </w:r>
    </w:p>
    <w:p w:rsidR="004F68B7" w:rsidRPr="004F68B7" w:rsidRDefault="004F68B7" w:rsidP="004F68B7">
      <w:pPr>
        <w:jc w:val="both"/>
      </w:pPr>
    </w:p>
    <w:p w:rsidR="004F68B7" w:rsidRPr="00B75A52" w:rsidRDefault="004F68B7" w:rsidP="004F68B7">
      <w:pPr>
        <w:rPr>
          <w:bCs/>
          <w:sz w:val="22"/>
          <w:szCs w:val="22"/>
        </w:rPr>
      </w:pPr>
      <w:r w:rsidRPr="00B75A52">
        <w:rPr>
          <w:bCs/>
          <w:sz w:val="22"/>
          <w:szCs w:val="22"/>
        </w:rPr>
        <w:t xml:space="preserve">The Department maintains a toll-free hotline (1-800-645-5784) which is used primarily by the Issuing Officers in schools to obtain assistance when issuing certificates, as well as to receive complaints and provide information to the </w:t>
      </w:r>
      <w:r w:rsidR="003F56E6" w:rsidRPr="00B75A52">
        <w:rPr>
          <w:bCs/>
          <w:sz w:val="22"/>
          <w:szCs w:val="22"/>
        </w:rPr>
        <w:t>public</w:t>
      </w:r>
      <w:r w:rsidRPr="00B75A52">
        <w:rPr>
          <w:bCs/>
          <w:sz w:val="22"/>
          <w:szCs w:val="22"/>
        </w:rPr>
        <w:t>. The hotline number is prominently displayed on our Labor Law Poster, which must be posted in all businesses throughout the state.</w:t>
      </w:r>
    </w:p>
    <w:p w:rsidR="004F68B7" w:rsidRPr="00B75A52" w:rsidRDefault="004F68B7" w:rsidP="004F68B7">
      <w:pPr>
        <w:rPr>
          <w:bCs/>
          <w:sz w:val="22"/>
          <w:szCs w:val="22"/>
        </w:rPr>
      </w:pPr>
    </w:p>
    <w:p w:rsidR="004F68B7" w:rsidRPr="00B75A52" w:rsidRDefault="004F68B7" w:rsidP="004F68B7">
      <w:pPr>
        <w:rPr>
          <w:bCs/>
          <w:sz w:val="22"/>
          <w:szCs w:val="22"/>
        </w:rPr>
      </w:pPr>
      <w:r w:rsidRPr="00B75A52">
        <w:rPr>
          <w:bCs/>
          <w:sz w:val="22"/>
          <w:szCs w:val="22"/>
        </w:rPr>
        <w:t>In FY 2019</w:t>
      </w:r>
      <w:r w:rsidR="003F56E6" w:rsidRPr="00B75A52">
        <w:rPr>
          <w:bCs/>
          <w:sz w:val="22"/>
          <w:szCs w:val="22"/>
        </w:rPr>
        <w:t>,</w:t>
      </w:r>
      <w:r w:rsidRPr="00B75A52">
        <w:rPr>
          <w:bCs/>
          <w:sz w:val="22"/>
          <w:szCs w:val="22"/>
        </w:rPr>
        <w:t xml:space="preserve"> the Department continued to administer a paperless permitting process. The Department maintained an email address exclusively for child labor permits and for any questions related to the Child Labor Law (</w:t>
      </w:r>
      <w:hyperlink r:id="rId8" w:history="1">
        <w:r w:rsidRPr="00B75A52">
          <w:rPr>
            <w:bCs/>
            <w:color w:val="0000FF" w:themeColor="hyperlink"/>
            <w:sz w:val="22"/>
            <w:szCs w:val="22"/>
            <w:u w:val="single"/>
          </w:rPr>
          <w:t>DOL.ChildLaborLaw@illinois.gov</w:t>
        </w:r>
      </w:hyperlink>
      <w:r w:rsidRPr="00B75A52">
        <w:rPr>
          <w:bCs/>
          <w:sz w:val="22"/>
          <w:szCs w:val="22"/>
        </w:rPr>
        <w:t>). In FY19, 21</w:t>
      </w:r>
      <w:r w:rsidRPr="00B75A52">
        <w:rPr>
          <w:sz w:val="22"/>
          <w:szCs w:val="22"/>
        </w:rPr>
        <w:t>,052</w:t>
      </w:r>
      <w:r w:rsidRPr="00B75A52">
        <w:rPr>
          <w:color w:val="1F497D"/>
          <w:sz w:val="22"/>
          <w:szCs w:val="22"/>
        </w:rPr>
        <w:t xml:space="preserve"> </w:t>
      </w:r>
      <w:r w:rsidRPr="00B75A52">
        <w:rPr>
          <w:bCs/>
          <w:sz w:val="22"/>
          <w:szCs w:val="22"/>
        </w:rPr>
        <w:t>employment certificates were issued by schools and their duly authorized agents. Issuing officers are required to send copies of these certificates to the Department by email. Once the Department receives the certificates, the Department then reviews and files the certificate electronically.</w:t>
      </w:r>
    </w:p>
    <w:p w:rsidR="004F68B7" w:rsidRPr="00B75A52" w:rsidRDefault="004F68B7" w:rsidP="004F68B7">
      <w:pPr>
        <w:rPr>
          <w:bCs/>
          <w:sz w:val="22"/>
          <w:szCs w:val="22"/>
        </w:rPr>
      </w:pPr>
    </w:p>
    <w:p w:rsidR="004F68B7" w:rsidRPr="00B75A52" w:rsidRDefault="004F68B7" w:rsidP="004F68B7">
      <w:pPr>
        <w:rPr>
          <w:bCs/>
          <w:sz w:val="22"/>
          <w:szCs w:val="22"/>
        </w:rPr>
      </w:pPr>
      <w:r w:rsidRPr="00B75A52">
        <w:rPr>
          <w:bCs/>
          <w:sz w:val="22"/>
          <w:szCs w:val="22"/>
        </w:rPr>
        <w:t>Throughout FY19, the Department received requests for waiver of hour restrictions for children working in motion picture or related entertainment productions. The Department received and approved 2</w:t>
      </w:r>
      <w:r w:rsidR="003F56E6" w:rsidRPr="00B75A52">
        <w:rPr>
          <w:bCs/>
          <w:sz w:val="22"/>
          <w:szCs w:val="22"/>
        </w:rPr>
        <w:t>,</w:t>
      </w:r>
      <w:r w:rsidRPr="00B75A52">
        <w:rPr>
          <w:bCs/>
          <w:sz w:val="22"/>
          <w:szCs w:val="22"/>
        </w:rPr>
        <w:t>227 requests from motion picture and entertainment production companies, including the television programs “Shameless,” “Empire,” and “Chicago Med,” and the Steppenwolf Theatre Company.</w:t>
      </w:r>
    </w:p>
    <w:p w:rsidR="004F68B7" w:rsidRPr="00B75A52" w:rsidRDefault="004F68B7" w:rsidP="004F68B7">
      <w:pPr>
        <w:jc w:val="both"/>
        <w:rPr>
          <w:sz w:val="22"/>
          <w:szCs w:val="22"/>
        </w:rPr>
      </w:pPr>
    </w:p>
    <w:p w:rsidR="004F68B7" w:rsidRPr="004F68B7" w:rsidRDefault="004F68B7" w:rsidP="004F68B7">
      <w:pPr>
        <w:keepNext/>
        <w:keepLines/>
        <w:pBdr>
          <w:top w:val="single" w:sz="4" w:space="7" w:color="auto"/>
          <w:left w:val="single" w:sz="4" w:space="4" w:color="auto"/>
          <w:bottom w:val="single" w:sz="4" w:space="6" w:color="auto"/>
          <w:right w:val="single" w:sz="4" w:space="4" w:color="auto"/>
        </w:pBdr>
        <w:spacing w:before="40"/>
        <w:jc w:val="center"/>
        <w:outlineLvl w:val="1"/>
        <w:rPr>
          <w:rFonts w:eastAsiaTheme="majorEastAsia"/>
          <w:b/>
          <w:color w:val="000000" w:themeColor="text1"/>
        </w:rPr>
      </w:pPr>
      <w:r w:rsidRPr="004F68B7">
        <w:rPr>
          <w:rFonts w:eastAsiaTheme="majorEastAsia"/>
          <w:b/>
          <w:color w:val="000000" w:themeColor="text1"/>
        </w:rPr>
        <w:t>III. ENFORCEMENT</w:t>
      </w:r>
    </w:p>
    <w:p w:rsidR="004F68B7" w:rsidRPr="004F68B7" w:rsidRDefault="004F68B7" w:rsidP="004F68B7">
      <w:pPr>
        <w:jc w:val="both"/>
      </w:pPr>
    </w:p>
    <w:p w:rsidR="004F68B7" w:rsidRPr="00B75A52" w:rsidRDefault="004F68B7" w:rsidP="004F68B7">
      <w:pPr>
        <w:rPr>
          <w:sz w:val="22"/>
          <w:szCs w:val="22"/>
        </w:rPr>
      </w:pPr>
      <w:r w:rsidRPr="00B75A52">
        <w:rPr>
          <w:sz w:val="22"/>
          <w:szCs w:val="22"/>
        </w:rPr>
        <w:t xml:space="preserve">One informal settlement conference relating to possible violations of the Child Labor Law was held during FY 2019. Penalties assessed through the conference totaled </w:t>
      </w:r>
      <w:proofErr w:type="gramStart"/>
      <w:r w:rsidRPr="00B75A52">
        <w:rPr>
          <w:sz w:val="22"/>
          <w:szCs w:val="22"/>
        </w:rPr>
        <w:t>$2,425.00, and</w:t>
      </w:r>
      <w:proofErr w:type="gramEnd"/>
      <w:r w:rsidRPr="00B75A52">
        <w:rPr>
          <w:sz w:val="22"/>
          <w:szCs w:val="22"/>
        </w:rPr>
        <w:t xml:space="preserve"> were deposited into the Child Labor and Day and Temporary Labor Enforcement Fund to fund enforcement activities. Settlement amounts are determined by the size of the business and the gravity of the violation.</w:t>
      </w:r>
    </w:p>
    <w:p w:rsidR="004F68B7" w:rsidRPr="004F68B7" w:rsidRDefault="004F68B7" w:rsidP="004F68B7">
      <w:pPr>
        <w:jc w:val="both"/>
        <w:rPr>
          <w:b/>
        </w:rPr>
      </w:pPr>
    </w:p>
    <w:p w:rsidR="004F68B7" w:rsidRPr="004F68B7" w:rsidRDefault="004F68B7" w:rsidP="004F68B7">
      <w:pPr>
        <w:keepNext/>
        <w:pBdr>
          <w:top w:val="single" w:sz="4" w:space="7" w:color="auto"/>
          <w:left w:val="single" w:sz="4" w:space="4" w:color="auto"/>
          <w:bottom w:val="single" w:sz="4" w:space="4" w:color="auto"/>
          <w:right w:val="single" w:sz="4" w:space="4" w:color="auto"/>
        </w:pBdr>
        <w:jc w:val="center"/>
        <w:outlineLvl w:val="0"/>
        <w:rPr>
          <w:b/>
          <w:bCs/>
        </w:rPr>
      </w:pPr>
      <w:r w:rsidRPr="004F68B7">
        <w:rPr>
          <w:b/>
          <w:bCs/>
        </w:rPr>
        <w:t>IV.</w:t>
      </w:r>
      <w:r w:rsidRPr="004F68B7">
        <w:rPr>
          <w:b/>
          <w:bCs/>
        </w:rPr>
        <w:tab/>
        <w:t>OUTREACH EFFORTS</w:t>
      </w:r>
    </w:p>
    <w:p w:rsidR="004F68B7" w:rsidRPr="004F68B7" w:rsidRDefault="004F68B7" w:rsidP="004F68B7">
      <w:pPr>
        <w:jc w:val="both"/>
        <w:rPr>
          <w:rFonts w:ascii="Calibri" w:hAnsi="Calibri"/>
          <w:b/>
        </w:rPr>
      </w:pPr>
    </w:p>
    <w:p w:rsidR="004F68B7" w:rsidRPr="00B75A52" w:rsidRDefault="004F68B7" w:rsidP="004F68B7">
      <w:pPr>
        <w:rPr>
          <w:bCs/>
          <w:sz w:val="22"/>
          <w:szCs w:val="22"/>
        </w:rPr>
      </w:pPr>
      <w:r w:rsidRPr="00B75A52">
        <w:rPr>
          <w:bCs/>
          <w:sz w:val="22"/>
          <w:szCs w:val="22"/>
        </w:rPr>
        <w:t>The Department’s continued outreach and educational efforts have helped ensure compliance by providing information and instruction to a variety of individuals and organizations. In FY 2019, the</w:t>
      </w:r>
      <w:r w:rsidR="00B75A52" w:rsidRPr="00B75A52">
        <w:rPr>
          <w:bCs/>
          <w:sz w:val="22"/>
          <w:szCs w:val="22"/>
        </w:rPr>
        <w:t xml:space="preserve"> Department presented to groups of educators, businesses, employer associations and employees.</w:t>
      </w:r>
      <w:r w:rsidRPr="00B75A52">
        <w:rPr>
          <w:bCs/>
          <w:sz w:val="22"/>
          <w:szCs w:val="22"/>
        </w:rPr>
        <w:t xml:space="preserve"> The Department also continues to work with the State Board of Education to ensure that work-study programs comply with State and federal Child Labor Laws.</w:t>
      </w:r>
    </w:p>
    <w:p w:rsidR="004F68B7" w:rsidRPr="00B75A52" w:rsidRDefault="004F68B7" w:rsidP="004F68B7">
      <w:pPr>
        <w:rPr>
          <w:sz w:val="22"/>
          <w:szCs w:val="22"/>
        </w:rPr>
      </w:pPr>
    </w:p>
    <w:p w:rsidR="004F68B7" w:rsidRPr="00B75A52" w:rsidRDefault="004F68B7" w:rsidP="004F68B7">
      <w:pPr>
        <w:rPr>
          <w:sz w:val="22"/>
          <w:szCs w:val="22"/>
        </w:rPr>
      </w:pPr>
    </w:p>
    <w:p w:rsidR="001E1EAC" w:rsidRPr="00B75A52" w:rsidRDefault="004F68B7" w:rsidP="00B75A52">
      <w:pPr>
        <w:rPr>
          <w:b/>
        </w:rPr>
      </w:pPr>
      <w:r w:rsidRPr="004F68B7">
        <w:rPr>
          <w:b/>
        </w:rPr>
        <w:t>Marina Faz-Huppert, Director</w:t>
      </w:r>
    </w:p>
    <w:sectPr w:rsidR="001E1EAC" w:rsidRPr="00B75A52" w:rsidSect="0002138E">
      <w:headerReference w:type="default" r:id="rId9"/>
      <w:headerReference w:type="first" r:id="rId10"/>
      <w:footerReference w:type="first" r:id="rId11"/>
      <w:pgSz w:w="12240" w:h="15840"/>
      <w:pgMar w:top="1440" w:right="1440" w:bottom="1440" w:left="1440" w:header="720" w:footer="34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1847" w:rsidRDefault="00711847">
      <w:r>
        <w:separator/>
      </w:r>
    </w:p>
  </w:endnote>
  <w:endnote w:type="continuationSeparator" w:id="0">
    <w:p w:rsidR="00711847" w:rsidRDefault="00711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18" w:type="dxa"/>
      <w:jc w:val="center"/>
      <w:tblLook w:val="01E0" w:firstRow="1" w:lastRow="1" w:firstColumn="1" w:lastColumn="1" w:noHBand="0" w:noVBand="0"/>
    </w:tblPr>
    <w:tblGrid>
      <w:gridCol w:w="3210"/>
      <w:gridCol w:w="3242"/>
      <w:gridCol w:w="3466"/>
    </w:tblGrid>
    <w:tr w:rsidR="003263CA" w:rsidRPr="003263CA" w:rsidTr="007A1574">
      <w:trPr>
        <w:jc w:val="center"/>
      </w:trPr>
      <w:tc>
        <w:tcPr>
          <w:tcW w:w="3210" w:type="dxa"/>
        </w:tcPr>
        <w:p w:rsidR="007A1574" w:rsidRPr="003263CA" w:rsidRDefault="007A1574" w:rsidP="007A1574">
          <w:pPr>
            <w:pStyle w:val="Footer"/>
            <w:jc w:val="center"/>
            <w:rPr>
              <w:color w:val="244061" w:themeColor="accent1" w:themeShade="80"/>
              <w:sz w:val="16"/>
              <w:szCs w:val="16"/>
            </w:rPr>
          </w:pPr>
          <w:r w:rsidRPr="003263CA">
            <w:rPr>
              <w:color w:val="244061" w:themeColor="accent1" w:themeShade="80"/>
              <w:sz w:val="16"/>
              <w:szCs w:val="16"/>
            </w:rPr>
            <w:t xml:space="preserve">Michael A </w:t>
          </w:r>
          <w:proofErr w:type="spellStart"/>
          <w:r w:rsidRPr="003263CA">
            <w:rPr>
              <w:color w:val="244061" w:themeColor="accent1" w:themeShade="80"/>
              <w:sz w:val="16"/>
              <w:szCs w:val="16"/>
            </w:rPr>
            <w:t>Bilandic</w:t>
          </w:r>
          <w:proofErr w:type="spellEnd"/>
          <w:r w:rsidRPr="003263CA">
            <w:rPr>
              <w:color w:val="244061" w:themeColor="accent1" w:themeShade="80"/>
              <w:sz w:val="16"/>
              <w:szCs w:val="16"/>
            </w:rPr>
            <w:t xml:space="preserve"> Building</w:t>
          </w:r>
        </w:p>
      </w:tc>
      <w:tc>
        <w:tcPr>
          <w:tcW w:w="3242" w:type="dxa"/>
        </w:tcPr>
        <w:p w:rsidR="007A1574" w:rsidRPr="003263CA" w:rsidRDefault="007A1574" w:rsidP="007A1574">
          <w:pPr>
            <w:pStyle w:val="Footer"/>
            <w:jc w:val="center"/>
            <w:rPr>
              <w:color w:val="244061" w:themeColor="accent1" w:themeShade="80"/>
              <w:sz w:val="16"/>
              <w:szCs w:val="16"/>
            </w:rPr>
          </w:pPr>
        </w:p>
      </w:tc>
      <w:tc>
        <w:tcPr>
          <w:tcW w:w="3466" w:type="dxa"/>
        </w:tcPr>
        <w:p w:rsidR="007A1574" w:rsidRPr="003263CA" w:rsidRDefault="007A1574" w:rsidP="007A1574">
          <w:pPr>
            <w:pStyle w:val="Footer"/>
            <w:jc w:val="center"/>
            <w:rPr>
              <w:color w:val="244061" w:themeColor="accent1" w:themeShade="80"/>
              <w:sz w:val="16"/>
              <w:szCs w:val="16"/>
            </w:rPr>
          </w:pPr>
          <w:r w:rsidRPr="003263CA">
            <w:rPr>
              <w:color w:val="244061" w:themeColor="accent1" w:themeShade="80"/>
              <w:sz w:val="16"/>
              <w:szCs w:val="16"/>
            </w:rPr>
            <w:t>Regional Office Building</w:t>
          </w:r>
        </w:p>
      </w:tc>
    </w:tr>
    <w:tr w:rsidR="003263CA" w:rsidRPr="003263CA" w:rsidTr="007A1574">
      <w:trPr>
        <w:jc w:val="center"/>
      </w:trPr>
      <w:tc>
        <w:tcPr>
          <w:tcW w:w="3210" w:type="dxa"/>
        </w:tcPr>
        <w:p w:rsidR="007A1574" w:rsidRPr="003263CA" w:rsidRDefault="007A1574" w:rsidP="007A1574">
          <w:pPr>
            <w:pStyle w:val="Footer"/>
            <w:jc w:val="center"/>
            <w:rPr>
              <w:color w:val="244061" w:themeColor="accent1" w:themeShade="80"/>
              <w:sz w:val="16"/>
              <w:szCs w:val="16"/>
            </w:rPr>
          </w:pPr>
          <w:r w:rsidRPr="003263CA">
            <w:rPr>
              <w:color w:val="244061" w:themeColor="accent1" w:themeShade="80"/>
              <w:sz w:val="16"/>
              <w:szCs w:val="16"/>
            </w:rPr>
            <w:t>160 North LaSalle, Suite C-1300</w:t>
          </w:r>
        </w:p>
      </w:tc>
      <w:tc>
        <w:tcPr>
          <w:tcW w:w="3242" w:type="dxa"/>
        </w:tcPr>
        <w:p w:rsidR="007A1574" w:rsidRPr="003263CA" w:rsidRDefault="007A1574" w:rsidP="007A1574">
          <w:pPr>
            <w:pStyle w:val="Footer"/>
            <w:jc w:val="center"/>
            <w:rPr>
              <w:color w:val="244061" w:themeColor="accent1" w:themeShade="80"/>
              <w:sz w:val="16"/>
              <w:szCs w:val="16"/>
            </w:rPr>
          </w:pPr>
          <w:r w:rsidRPr="003263CA">
            <w:rPr>
              <w:color w:val="244061" w:themeColor="accent1" w:themeShade="80"/>
              <w:sz w:val="16"/>
              <w:szCs w:val="16"/>
            </w:rPr>
            <w:t>900 South Spring Street</w:t>
          </w:r>
        </w:p>
      </w:tc>
      <w:tc>
        <w:tcPr>
          <w:tcW w:w="3466" w:type="dxa"/>
        </w:tcPr>
        <w:p w:rsidR="007A1574" w:rsidRPr="003263CA" w:rsidRDefault="007A1574" w:rsidP="007A1574">
          <w:pPr>
            <w:pStyle w:val="Footer"/>
            <w:jc w:val="center"/>
            <w:rPr>
              <w:color w:val="244061" w:themeColor="accent1" w:themeShade="80"/>
              <w:sz w:val="16"/>
              <w:szCs w:val="16"/>
            </w:rPr>
          </w:pPr>
          <w:r w:rsidRPr="003263CA">
            <w:rPr>
              <w:color w:val="244061" w:themeColor="accent1" w:themeShade="80"/>
              <w:sz w:val="16"/>
              <w:szCs w:val="16"/>
            </w:rPr>
            <w:t>2309 West Main Street, Suite 115</w:t>
          </w:r>
        </w:p>
      </w:tc>
    </w:tr>
    <w:tr w:rsidR="003263CA" w:rsidRPr="003263CA" w:rsidTr="007A1574">
      <w:trPr>
        <w:jc w:val="center"/>
      </w:trPr>
      <w:tc>
        <w:tcPr>
          <w:tcW w:w="3210" w:type="dxa"/>
        </w:tcPr>
        <w:p w:rsidR="007A1574" w:rsidRPr="003263CA" w:rsidRDefault="007A1574" w:rsidP="007A1574">
          <w:pPr>
            <w:pStyle w:val="Footer"/>
            <w:jc w:val="center"/>
            <w:rPr>
              <w:color w:val="244061" w:themeColor="accent1" w:themeShade="80"/>
              <w:sz w:val="16"/>
              <w:szCs w:val="16"/>
            </w:rPr>
          </w:pPr>
          <w:r w:rsidRPr="003263CA">
            <w:rPr>
              <w:color w:val="244061" w:themeColor="accent1" w:themeShade="80"/>
              <w:sz w:val="16"/>
              <w:szCs w:val="16"/>
            </w:rPr>
            <w:t>Chicago, Illinois 60601-3150</w:t>
          </w:r>
        </w:p>
      </w:tc>
      <w:tc>
        <w:tcPr>
          <w:tcW w:w="3242" w:type="dxa"/>
        </w:tcPr>
        <w:p w:rsidR="007A1574" w:rsidRPr="003263CA" w:rsidRDefault="007A1574" w:rsidP="007A1459">
          <w:pPr>
            <w:pStyle w:val="Footer"/>
            <w:jc w:val="center"/>
            <w:rPr>
              <w:color w:val="244061" w:themeColor="accent1" w:themeShade="80"/>
              <w:sz w:val="16"/>
              <w:szCs w:val="16"/>
            </w:rPr>
          </w:pPr>
          <w:r w:rsidRPr="003263CA">
            <w:rPr>
              <w:color w:val="244061" w:themeColor="accent1" w:themeShade="80"/>
              <w:sz w:val="16"/>
              <w:szCs w:val="16"/>
            </w:rPr>
            <w:t>Springfield, Illinois 6270</w:t>
          </w:r>
          <w:r w:rsidR="007A1459">
            <w:rPr>
              <w:color w:val="244061" w:themeColor="accent1" w:themeShade="80"/>
              <w:sz w:val="16"/>
              <w:szCs w:val="16"/>
            </w:rPr>
            <w:t>4-2725</w:t>
          </w:r>
        </w:p>
      </w:tc>
      <w:tc>
        <w:tcPr>
          <w:tcW w:w="3466" w:type="dxa"/>
        </w:tcPr>
        <w:p w:rsidR="007A1574" w:rsidRPr="003263CA" w:rsidRDefault="007A1574" w:rsidP="007A1574">
          <w:pPr>
            <w:pStyle w:val="Footer"/>
            <w:jc w:val="center"/>
            <w:rPr>
              <w:color w:val="244061" w:themeColor="accent1" w:themeShade="80"/>
              <w:sz w:val="16"/>
              <w:szCs w:val="16"/>
            </w:rPr>
          </w:pPr>
          <w:r w:rsidRPr="003263CA">
            <w:rPr>
              <w:color w:val="244061" w:themeColor="accent1" w:themeShade="80"/>
              <w:sz w:val="16"/>
              <w:szCs w:val="16"/>
            </w:rPr>
            <w:t>Marion, Illinois 62959</w:t>
          </w:r>
        </w:p>
      </w:tc>
    </w:tr>
    <w:tr w:rsidR="003263CA" w:rsidRPr="003263CA" w:rsidTr="007A1574">
      <w:trPr>
        <w:jc w:val="center"/>
      </w:trPr>
      <w:tc>
        <w:tcPr>
          <w:tcW w:w="3210" w:type="dxa"/>
        </w:tcPr>
        <w:p w:rsidR="007A1574" w:rsidRPr="003263CA" w:rsidRDefault="007A1574" w:rsidP="007A1574">
          <w:pPr>
            <w:pStyle w:val="Footer"/>
            <w:jc w:val="center"/>
            <w:rPr>
              <w:color w:val="244061" w:themeColor="accent1" w:themeShade="80"/>
              <w:sz w:val="16"/>
              <w:szCs w:val="16"/>
            </w:rPr>
          </w:pPr>
          <w:r w:rsidRPr="003263CA">
            <w:rPr>
              <w:color w:val="244061" w:themeColor="accent1" w:themeShade="80"/>
              <w:sz w:val="16"/>
              <w:szCs w:val="16"/>
            </w:rPr>
            <w:t>(312) 793-2800</w:t>
          </w:r>
        </w:p>
      </w:tc>
      <w:tc>
        <w:tcPr>
          <w:tcW w:w="3242" w:type="dxa"/>
        </w:tcPr>
        <w:p w:rsidR="007A1574" w:rsidRPr="003263CA" w:rsidRDefault="007A1574" w:rsidP="007A1574">
          <w:pPr>
            <w:pStyle w:val="Footer"/>
            <w:jc w:val="center"/>
            <w:rPr>
              <w:color w:val="244061" w:themeColor="accent1" w:themeShade="80"/>
              <w:sz w:val="16"/>
              <w:szCs w:val="16"/>
            </w:rPr>
          </w:pPr>
          <w:r w:rsidRPr="003263CA">
            <w:rPr>
              <w:color w:val="244061" w:themeColor="accent1" w:themeShade="80"/>
              <w:sz w:val="16"/>
              <w:szCs w:val="16"/>
            </w:rPr>
            <w:t>(217) 782-6206</w:t>
          </w:r>
        </w:p>
      </w:tc>
      <w:tc>
        <w:tcPr>
          <w:tcW w:w="3466" w:type="dxa"/>
        </w:tcPr>
        <w:p w:rsidR="007A1574" w:rsidRPr="003263CA" w:rsidRDefault="007A1574" w:rsidP="007A1574">
          <w:pPr>
            <w:pStyle w:val="Footer"/>
            <w:jc w:val="center"/>
            <w:rPr>
              <w:color w:val="244061" w:themeColor="accent1" w:themeShade="80"/>
              <w:sz w:val="16"/>
              <w:szCs w:val="16"/>
            </w:rPr>
          </w:pPr>
          <w:r w:rsidRPr="003263CA">
            <w:rPr>
              <w:color w:val="244061" w:themeColor="accent1" w:themeShade="80"/>
              <w:sz w:val="16"/>
              <w:szCs w:val="16"/>
            </w:rPr>
            <w:t>(618) 993-7090</w:t>
          </w:r>
        </w:p>
      </w:tc>
    </w:tr>
    <w:tr w:rsidR="007A1574" w:rsidRPr="003263CA" w:rsidTr="007A1574">
      <w:trPr>
        <w:jc w:val="center"/>
      </w:trPr>
      <w:tc>
        <w:tcPr>
          <w:tcW w:w="3210" w:type="dxa"/>
        </w:tcPr>
        <w:p w:rsidR="007A1574" w:rsidRPr="003263CA" w:rsidRDefault="007A1574" w:rsidP="007A1574">
          <w:pPr>
            <w:pStyle w:val="Footer"/>
            <w:jc w:val="center"/>
            <w:rPr>
              <w:color w:val="244061" w:themeColor="accent1" w:themeShade="80"/>
              <w:sz w:val="16"/>
              <w:szCs w:val="16"/>
            </w:rPr>
          </w:pPr>
          <w:r w:rsidRPr="003263CA">
            <w:rPr>
              <w:color w:val="244061" w:themeColor="accent1" w:themeShade="80"/>
              <w:sz w:val="16"/>
              <w:szCs w:val="16"/>
            </w:rPr>
            <w:t>Fax</w:t>
          </w:r>
          <w:proofErr w:type="gramStart"/>
          <w:r w:rsidRPr="003263CA">
            <w:rPr>
              <w:color w:val="244061" w:themeColor="accent1" w:themeShade="80"/>
              <w:sz w:val="16"/>
              <w:szCs w:val="16"/>
            </w:rPr>
            <w:t>:  (</w:t>
          </w:r>
          <w:proofErr w:type="gramEnd"/>
          <w:r w:rsidRPr="003263CA">
            <w:rPr>
              <w:color w:val="244061" w:themeColor="accent1" w:themeShade="80"/>
              <w:sz w:val="16"/>
              <w:szCs w:val="16"/>
            </w:rPr>
            <w:t>312) 793-5257</w:t>
          </w:r>
        </w:p>
      </w:tc>
      <w:tc>
        <w:tcPr>
          <w:tcW w:w="3242" w:type="dxa"/>
        </w:tcPr>
        <w:p w:rsidR="007A1574" w:rsidRPr="003263CA" w:rsidRDefault="007A1574" w:rsidP="007A1574">
          <w:pPr>
            <w:pStyle w:val="Footer"/>
            <w:jc w:val="center"/>
            <w:rPr>
              <w:color w:val="244061" w:themeColor="accent1" w:themeShade="80"/>
              <w:sz w:val="16"/>
              <w:szCs w:val="16"/>
            </w:rPr>
          </w:pPr>
          <w:r w:rsidRPr="003263CA">
            <w:rPr>
              <w:color w:val="244061" w:themeColor="accent1" w:themeShade="80"/>
              <w:sz w:val="16"/>
              <w:szCs w:val="16"/>
            </w:rPr>
            <w:t>Fax</w:t>
          </w:r>
          <w:proofErr w:type="gramStart"/>
          <w:r w:rsidRPr="003263CA">
            <w:rPr>
              <w:color w:val="244061" w:themeColor="accent1" w:themeShade="80"/>
              <w:sz w:val="16"/>
              <w:szCs w:val="16"/>
            </w:rPr>
            <w:t>:  (</w:t>
          </w:r>
          <w:proofErr w:type="gramEnd"/>
          <w:r w:rsidRPr="003263CA">
            <w:rPr>
              <w:color w:val="244061" w:themeColor="accent1" w:themeShade="80"/>
              <w:sz w:val="16"/>
              <w:szCs w:val="16"/>
            </w:rPr>
            <w:t>217) 782-0596</w:t>
          </w:r>
        </w:p>
      </w:tc>
      <w:tc>
        <w:tcPr>
          <w:tcW w:w="3466" w:type="dxa"/>
        </w:tcPr>
        <w:p w:rsidR="007A1574" w:rsidRPr="003263CA" w:rsidRDefault="007A1574" w:rsidP="007A1574">
          <w:pPr>
            <w:pStyle w:val="Footer"/>
            <w:jc w:val="center"/>
            <w:rPr>
              <w:color w:val="244061" w:themeColor="accent1" w:themeShade="80"/>
              <w:sz w:val="16"/>
              <w:szCs w:val="16"/>
            </w:rPr>
          </w:pPr>
          <w:r w:rsidRPr="003263CA">
            <w:rPr>
              <w:color w:val="244061" w:themeColor="accent1" w:themeShade="80"/>
              <w:sz w:val="16"/>
              <w:szCs w:val="16"/>
            </w:rPr>
            <w:t>Fax</w:t>
          </w:r>
          <w:proofErr w:type="gramStart"/>
          <w:r w:rsidRPr="003263CA">
            <w:rPr>
              <w:color w:val="244061" w:themeColor="accent1" w:themeShade="80"/>
              <w:sz w:val="16"/>
              <w:szCs w:val="16"/>
            </w:rPr>
            <w:t>:  (</w:t>
          </w:r>
          <w:proofErr w:type="gramEnd"/>
          <w:r w:rsidRPr="003263CA">
            <w:rPr>
              <w:color w:val="244061" w:themeColor="accent1" w:themeShade="80"/>
              <w:sz w:val="16"/>
              <w:szCs w:val="16"/>
            </w:rPr>
            <w:t>618) 993-7258</w:t>
          </w:r>
        </w:p>
      </w:tc>
    </w:tr>
  </w:tbl>
  <w:p w:rsidR="007A1574" w:rsidRPr="003263CA" w:rsidRDefault="007A1574" w:rsidP="00D51A9B">
    <w:pPr>
      <w:pStyle w:val="Footer"/>
      <w:rPr>
        <w:color w:val="244061" w:themeColor="accent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1847" w:rsidRDefault="00711847">
      <w:r>
        <w:separator/>
      </w:r>
    </w:p>
  </w:footnote>
  <w:footnote w:type="continuationSeparator" w:id="0">
    <w:p w:rsidR="00711847" w:rsidRDefault="00711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574" w:rsidRDefault="007A1574" w:rsidP="0050696E">
    <w:pPr>
      <w:pStyle w:val="Header"/>
      <w:tabs>
        <w:tab w:val="clear" w:pos="4320"/>
        <w:tab w:val="clear" w:pos="8640"/>
        <w:tab w:val="right" w:pos="9360"/>
      </w:tabs>
      <w:rPr>
        <w:color w:val="000000" w:themeColor="text1"/>
      </w:rPr>
    </w:pPr>
  </w:p>
  <w:p w:rsidR="004F68B7" w:rsidRPr="00A52808" w:rsidRDefault="004F68B7" w:rsidP="0050696E">
    <w:pPr>
      <w:pStyle w:val="Header"/>
      <w:tabs>
        <w:tab w:val="clear" w:pos="4320"/>
        <w:tab w:val="clear" w:pos="8640"/>
        <w:tab w:val="right" w:pos="9360"/>
      </w:tabs>
      <w:rPr>
        <w:color w:val="000000" w:themeColor="text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574" w:rsidRPr="003263CA" w:rsidRDefault="007A1459" w:rsidP="002252E3">
    <w:pPr>
      <w:pStyle w:val="Header"/>
      <w:jc w:val="center"/>
      <w:rPr>
        <w:color w:val="244061" w:themeColor="accent1" w:themeShade="80"/>
      </w:rPr>
    </w:pPr>
    <w:r>
      <w:rPr>
        <w:noProof/>
        <w:color w:val="244061" w:themeColor="accent1" w:themeShade="80"/>
      </w:rPr>
      <mc:AlternateContent>
        <mc:Choice Requires="wps">
          <w:drawing>
            <wp:anchor distT="0" distB="0" distL="114300" distR="114300" simplePos="0" relativeHeight="251660288" behindDoc="0" locked="0" layoutInCell="1" allowOverlap="1" wp14:anchorId="0BB3890D" wp14:editId="019D6835">
              <wp:simplePos x="0" y="0"/>
              <wp:positionH relativeFrom="column">
                <wp:posOffset>-923925</wp:posOffset>
              </wp:positionH>
              <wp:positionV relativeFrom="paragraph">
                <wp:posOffset>-228600</wp:posOffset>
              </wp:positionV>
              <wp:extent cx="7839075" cy="102489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9075" cy="1024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1574" w:rsidRDefault="007A1574" w:rsidP="002252E3">
                          <w:pPr>
                            <w:ind w:left="-180"/>
                            <w:jc w:val="center"/>
                          </w:pPr>
                          <w:r>
                            <w:t xml:space="preserve"> </w:t>
                          </w:r>
                          <w:r>
                            <w:rPr>
                              <w:noProof/>
                              <w:color w:val="0000FF"/>
                            </w:rPr>
                            <w:drawing>
                              <wp:inline distT="0" distB="0" distL="0" distR="0" wp14:anchorId="0871EDBA" wp14:editId="15B9B12E">
                                <wp:extent cx="922973" cy="928688"/>
                                <wp:effectExtent l="0" t="0" r="0" b="5080"/>
                                <wp:docPr id="1" name="Picture 6" descr="BLUE_IL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_IL_SEAL"/>
                                        <pic:cNvPicPr>
                                          <a:picLocks noChangeAspect="1" noChangeArrowheads="1"/>
                                        </pic:cNvPicPr>
                                      </pic:nvPicPr>
                                      <pic:blipFill>
                                        <a:blip r:embed="rId1">
                                          <a:extLst/>
                                        </a:blip>
                                        <a:stretch>
                                          <a:fillRect/>
                                        </a:stretch>
                                      </pic:blipFill>
                                      <pic:spPr bwMode="auto">
                                        <a:xfrm>
                                          <a:off x="0" y="0"/>
                                          <a:ext cx="922973" cy="92868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B3890D" id="_x0000_t202" coordsize="21600,21600" o:spt="202" path="m,l,21600r21600,l21600,xe">
              <v:stroke joinstyle="miter"/>
              <v:path gradientshapeok="t" o:connecttype="rect"/>
            </v:shapetype>
            <v:shape id="Text Box 7" o:spid="_x0000_s1026" type="#_x0000_t202" style="position:absolute;left:0;text-align:left;margin-left:-72.75pt;margin-top:-18pt;width:617.25pt;height:8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" stroked="f">
              <v:textbox style="mso-fit-shape-to-text:t">
                <w:txbxContent>
                  <w:p w:rsidR="007A1574" w:rsidRDefault="007A1574" w:rsidP="002252E3">
                    <w:pPr>
                      <w:ind w:left="-180"/>
                      <w:jc w:val="center"/>
                    </w:pPr>
                    <w:r>
                      <w:t xml:space="preserve"> </w:t>
                    </w:r>
                    <w:r>
                      <w:rPr>
                        <w:noProof/>
                        <w:color w:val="0000FF"/>
                      </w:rPr>
                      <w:drawing>
                        <wp:inline distT="0" distB="0" distL="0" distR="0" wp14:anchorId="0871EDBA" wp14:editId="15B9B12E">
                          <wp:extent cx="922973" cy="928688"/>
                          <wp:effectExtent l="0" t="0" r="0" b="5080"/>
                          <wp:docPr id="1" name="Picture 6" descr="BLUE_IL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_IL_SEAL"/>
                                  <pic:cNvPicPr>
                                    <a:picLocks noChangeAspect="1" noChangeArrowheads="1"/>
                                  </pic:cNvPicPr>
                                </pic:nvPicPr>
                                <pic:blipFill>
                                  <a:blip r:embed="rId1">
                                    <a:extLst/>
                                  </a:blip>
                                  <a:stretch>
                                    <a:fillRect/>
                                  </a:stretch>
                                </pic:blipFill>
                                <pic:spPr bwMode="auto">
                                  <a:xfrm>
                                    <a:off x="0" y="0"/>
                                    <a:ext cx="922973" cy="928688"/>
                                  </a:xfrm>
                                  <a:prstGeom prst="rect">
                                    <a:avLst/>
                                  </a:prstGeom>
                                  <a:noFill/>
                                  <a:ln w="9525">
                                    <a:noFill/>
                                    <a:miter lim="800000"/>
                                    <a:headEnd/>
                                    <a:tailEnd/>
                                  </a:ln>
                                </pic:spPr>
                              </pic:pic>
                            </a:graphicData>
                          </a:graphic>
                        </wp:inline>
                      </w:drawing>
                    </w:r>
                  </w:p>
                </w:txbxContent>
              </v:textbox>
            </v:shape>
          </w:pict>
        </mc:Fallback>
      </mc:AlternateContent>
    </w:r>
  </w:p>
  <w:p w:rsidR="007A1574" w:rsidRPr="003263CA" w:rsidRDefault="007A1574" w:rsidP="002252E3">
    <w:pPr>
      <w:pStyle w:val="Header"/>
      <w:jc w:val="center"/>
      <w:rPr>
        <w:color w:val="244061" w:themeColor="accent1" w:themeShade="80"/>
      </w:rPr>
    </w:pPr>
  </w:p>
  <w:p w:rsidR="007A1574" w:rsidRPr="003263CA" w:rsidRDefault="007A1574" w:rsidP="002252E3">
    <w:pPr>
      <w:pStyle w:val="Header"/>
      <w:jc w:val="center"/>
      <w:rPr>
        <w:color w:val="244061" w:themeColor="accent1" w:themeShade="80"/>
      </w:rPr>
    </w:pPr>
  </w:p>
  <w:p w:rsidR="007A1574" w:rsidRPr="003263CA" w:rsidRDefault="007A1574" w:rsidP="002252E3">
    <w:pPr>
      <w:pStyle w:val="Header"/>
      <w:jc w:val="center"/>
      <w:rPr>
        <w:color w:val="244061" w:themeColor="accent1" w:themeShade="80"/>
      </w:rPr>
    </w:pPr>
  </w:p>
  <w:p w:rsidR="007A1574" w:rsidRPr="003263CA" w:rsidRDefault="007A1574" w:rsidP="002252E3">
    <w:pPr>
      <w:pStyle w:val="Header"/>
      <w:tabs>
        <w:tab w:val="left" w:pos="2955"/>
      </w:tabs>
      <w:rPr>
        <w:color w:val="244061" w:themeColor="accent1" w:themeShade="80"/>
      </w:rPr>
    </w:pPr>
    <w:r w:rsidRPr="003263CA">
      <w:rPr>
        <w:color w:val="244061" w:themeColor="accent1" w:themeShade="80"/>
      </w:rPr>
      <w:tab/>
    </w:r>
    <w:r w:rsidRPr="003263CA">
      <w:rPr>
        <w:color w:val="244061" w:themeColor="accent1" w:themeShade="80"/>
      </w:rPr>
      <w:tab/>
    </w:r>
  </w:p>
  <w:p w:rsidR="007A1574" w:rsidRPr="003263CA" w:rsidRDefault="007A1574" w:rsidP="002252E3">
    <w:pPr>
      <w:pStyle w:val="Header"/>
      <w:ind w:left="-270"/>
      <w:jc w:val="center"/>
      <w:rPr>
        <w:color w:val="244061" w:themeColor="accent1" w:themeShade="80"/>
      </w:rPr>
    </w:pPr>
    <w:r w:rsidRPr="003263CA">
      <w:rPr>
        <w:color w:val="244061" w:themeColor="accent1" w:themeShade="80"/>
      </w:rPr>
      <w:t>ILLINOIS DEPARTMENT OF LABOR</w:t>
    </w:r>
  </w:p>
  <w:p w:rsidR="003F3F57" w:rsidRDefault="00881883" w:rsidP="00E5016B">
    <w:pPr>
      <w:pStyle w:val="Header"/>
      <w:tabs>
        <w:tab w:val="clear" w:pos="4320"/>
        <w:tab w:val="clear" w:pos="8640"/>
        <w:tab w:val="right" w:pos="9450"/>
      </w:tabs>
      <w:ind w:left="-270"/>
      <w:rPr>
        <w:color w:val="244061" w:themeColor="accent1" w:themeShade="80"/>
      </w:rPr>
    </w:pPr>
    <w:r>
      <w:rPr>
        <w:color w:val="244061" w:themeColor="accent1" w:themeShade="80"/>
      </w:rPr>
      <w:t>J</w:t>
    </w:r>
    <w:r w:rsidR="00E5016B">
      <w:rPr>
        <w:color w:val="244061" w:themeColor="accent1" w:themeShade="80"/>
      </w:rPr>
      <w:t>B</w:t>
    </w:r>
    <w:r>
      <w:rPr>
        <w:color w:val="244061" w:themeColor="accent1" w:themeShade="80"/>
      </w:rPr>
      <w:t xml:space="preserve"> Pritzker    </w:t>
    </w:r>
    <w:r w:rsidR="00D3674D">
      <w:rPr>
        <w:color w:val="244061" w:themeColor="accent1" w:themeShade="80"/>
      </w:rPr>
      <w:t xml:space="preserve">                                                                            </w:t>
    </w:r>
    <w:r w:rsidR="0041507D">
      <w:rPr>
        <w:color w:val="244061" w:themeColor="accent1" w:themeShade="80"/>
      </w:rPr>
      <w:t xml:space="preserve">                       </w:t>
    </w:r>
    <w:r w:rsidR="005B3FB0">
      <w:rPr>
        <w:color w:val="244061" w:themeColor="accent1" w:themeShade="80"/>
      </w:rPr>
      <w:t xml:space="preserve">     </w:t>
    </w:r>
    <w:r w:rsidR="00D3674D">
      <w:rPr>
        <w:color w:val="244061" w:themeColor="accent1" w:themeShade="80"/>
      </w:rPr>
      <w:t xml:space="preserve">   </w:t>
    </w:r>
    <w:r w:rsidR="005B3FB0">
      <w:rPr>
        <w:color w:val="244061" w:themeColor="accent1" w:themeShade="80"/>
      </w:rPr>
      <w:t xml:space="preserve">Michael </w:t>
    </w:r>
    <w:r w:rsidR="0041507D">
      <w:rPr>
        <w:color w:val="244061" w:themeColor="accent1" w:themeShade="80"/>
      </w:rPr>
      <w:t>D. K</w:t>
    </w:r>
    <w:r w:rsidR="005B3FB0">
      <w:rPr>
        <w:color w:val="244061" w:themeColor="accent1" w:themeShade="80"/>
      </w:rPr>
      <w:t>leinik</w:t>
    </w:r>
  </w:p>
  <w:p w:rsidR="007A1574" w:rsidRPr="003263CA" w:rsidRDefault="003F3F57" w:rsidP="00E5016B">
    <w:pPr>
      <w:pStyle w:val="Header"/>
      <w:tabs>
        <w:tab w:val="clear" w:pos="4320"/>
        <w:tab w:val="clear" w:pos="8640"/>
        <w:tab w:val="right" w:pos="9450"/>
      </w:tabs>
      <w:ind w:left="-270"/>
      <w:rPr>
        <w:color w:val="244061" w:themeColor="accent1" w:themeShade="80"/>
      </w:rPr>
    </w:pPr>
    <w:r>
      <w:rPr>
        <w:color w:val="244061" w:themeColor="accent1" w:themeShade="80"/>
      </w:rPr>
      <w:t>Go</w:t>
    </w:r>
    <w:r w:rsidR="007A1574" w:rsidRPr="003263CA">
      <w:rPr>
        <w:color w:val="244061" w:themeColor="accent1" w:themeShade="80"/>
      </w:rPr>
      <w:t>vernor</w:t>
    </w:r>
    <w:r w:rsidR="00D3674D">
      <w:rPr>
        <w:color w:val="244061" w:themeColor="accent1" w:themeShade="80"/>
      </w:rPr>
      <w:t xml:space="preserve">                                                                                                                      </w:t>
    </w:r>
    <w:r w:rsidR="005B3FB0">
      <w:rPr>
        <w:color w:val="244061" w:themeColor="accent1" w:themeShade="80"/>
      </w:rPr>
      <w:t xml:space="preserve"> Acting Director</w:t>
    </w:r>
  </w:p>
  <w:p w:rsidR="007A1574" w:rsidRPr="003263CA" w:rsidRDefault="007A1574" w:rsidP="002252E3">
    <w:pPr>
      <w:pStyle w:val="Header"/>
      <w:tabs>
        <w:tab w:val="clear" w:pos="4320"/>
        <w:tab w:val="clear" w:pos="8640"/>
        <w:tab w:val="right" w:pos="9360"/>
      </w:tabs>
      <w:rPr>
        <w:color w:val="244061" w:themeColor="accent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D6FF4"/>
    <w:multiLevelType w:val="hybridMultilevel"/>
    <w:tmpl w:val="52E6D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62E2F"/>
    <w:multiLevelType w:val="hybridMultilevel"/>
    <w:tmpl w:val="EA36C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286BCF"/>
    <w:multiLevelType w:val="hybridMultilevel"/>
    <w:tmpl w:val="46C8B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DE0EA7"/>
    <w:multiLevelType w:val="hybridMultilevel"/>
    <w:tmpl w:val="9196BE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6445FD"/>
    <w:multiLevelType w:val="multilevel"/>
    <w:tmpl w:val="6FA6B6D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45F91EA2"/>
    <w:multiLevelType w:val="hybridMultilevel"/>
    <w:tmpl w:val="E74A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C230D3"/>
    <w:multiLevelType w:val="hybridMultilevel"/>
    <w:tmpl w:val="A58EE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0968C8"/>
    <w:multiLevelType w:val="hybridMultilevel"/>
    <w:tmpl w:val="07B8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833BD1"/>
    <w:multiLevelType w:val="hybridMultilevel"/>
    <w:tmpl w:val="F4B8E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EE39F7"/>
    <w:multiLevelType w:val="hybridMultilevel"/>
    <w:tmpl w:val="FB023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16784C"/>
    <w:multiLevelType w:val="hybridMultilevel"/>
    <w:tmpl w:val="BEC4D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902F32"/>
    <w:multiLevelType w:val="hybridMultilevel"/>
    <w:tmpl w:val="A3B4E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D941B4"/>
    <w:multiLevelType w:val="hybridMultilevel"/>
    <w:tmpl w:val="C83C4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BC6389"/>
    <w:multiLevelType w:val="hybridMultilevel"/>
    <w:tmpl w:val="911AF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0"/>
  </w:num>
  <w:num w:numId="4">
    <w:abstractNumId w:val="6"/>
  </w:num>
  <w:num w:numId="5">
    <w:abstractNumId w:val="1"/>
  </w:num>
  <w:num w:numId="6">
    <w:abstractNumId w:val="12"/>
  </w:num>
  <w:num w:numId="7">
    <w:abstractNumId w:val="0"/>
  </w:num>
  <w:num w:numId="8">
    <w:abstractNumId w:val="9"/>
  </w:num>
  <w:num w:numId="9">
    <w:abstractNumId w:val="13"/>
  </w:num>
  <w:num w:numId="10">
    <w:abstractNumId w:val="5"/>
  </w:num>
  <w:num w:numId="11">
    <w:abstractNumId w:val="2"/>
  </w:num>
  <w:num w:numId="12">
    <w:abstractNumId w:val="7"/>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084"/>
    <w:rsid w:val="00003DE9"/>
    <w:rsid w:val="00005C72"/>
    <w:rsid w:val="0002138E"/>
    <w:rsid w:val="00077BC6"/>
    <w:rsid w:val="000A2119"/>
    <w:rsid w:val="000C7DBF"/>
    <w:rsid w:val="000F0682"/>
    <w:rsid w:val="00150F90"/>
    <w:rsid w:val="001514C8"/>
    <w:rsid w:val="00193879"/>
    <w:rsid w:val="00194F2D"/>
    <w:rsid w:val="001A6EF7"/>
    <w:rsid w:val="001A7023"/>
    <w:rsid w:val="001B7A3C"/>
    <w:rsid w:val="001E1EAC"/>
    <w:rsid w:val="002243B2"/>
    <w:rsid w:val="002252E3"/>
    <w:rsid w:val="00241305"/>
    <w:rsid w:val="002C41EC"/>
    <w:rsid w:val="003263CA"/>
    <w:rsid w:val="003320F6"/>
    <w:rsid w:val="00340D36"/>
    <w:rsid w:val="00341E9F"/>
    <w:rsid w:val="0038061B"/>
    <w:rsid w:val="00384A50"/>
    <w:rsid w:val="0038596F"/>
    <w:rsid w:val="003A7162"/>
    <w:rsid w:val="003F3F57"/>
    <w:rsid w:val="003F56E6"/>
    <w:rsid w:val="00407AF9"/>
    <w:rsid w:val="0041507D"/>
    <w:rsid w:val="004239A9"/>
    <w:rsid w:val="004258DC"/>
    <w:rsid w:val="004279A7"/>
    <w:rsid w:val="004376D5"/>
    <w:rsid w:val="00463DE6"/>
    <w:rsid w:val="004B1705"/>
    <w:rsid w:val="004F243F"/>
    <w:rsid w:val="004F68B7"/>
    <w:rsid w:val="0050696E"/>
    <w:rsid w:val="00520461"/>
    <w:rsid w:val="00570D1E"/>
    <w:rsid w:val="005961B0"/>
    <w:rsid w:val="005B3FB0"/>
    <w:rsid w:val="005C6144"/>
    <w:rsid w:val="00602084"/>
    <w:rsid w:val="00620F5B"/>
    <w:rsid w:val="006546F9"/>
    <w:rsid w:val="00660635"/>
    <w:rsid w:val="006672CE"/>
    <w:rsid w:val="00674F5A"/>
    <w:rsid w:val="00692900"/>
    <w:rsid w:val="006A3CAD"/>
    <w:rsid w:val="006B42BA"/>
    <w:rsid w:val="006D36E4"/>
    <w:rsid w:val="006E09CC"/>
    <w:rsid w:val="00711847"/>
    <w:rsid w:val="007213A2"/>
    <w:rsid w:val="0072790A"/>
    <w:rsid w:val="00747672"/>
    <w:rsid w:val="00751526"/>
    <w:rsid w:val="0075325A"/>
    <w:rsid w:val="00767F0E"/>
    <w:rsid w:val="00771805"/>
    <w:rsid w:val="007957E0"/>
    <w:rsid w:val="007A1459"/>
    <w:rsid w:val="007A1574"/>
    <w:rsid w:val="007B04EB"/>
    <w:rsid w:val="007B1D97"/>
    <w:rsid w:val="007C6C2C"/>
    <w:rsid w:val="007E2897"/>
    <w:rsid w:val="00801F8A"/>
    <w:rsid w:val="00806C94"/>
    <w:rsid w:val="008126E8"/>
    <w:rsid w:val="008166C0"/>
    <w:rsid w:val="0085080B"/>
    <w:rsid w:val="0088001B"/>
    <w:rsid w:val="00881883"/>
    <w:rsid w:val="00895831"/>
    <w:rsid w:val="008E7D43"/>
    <w:rsid w:val="00935F86"/>
    <w:rsid w:val="00936F7C"/>
    <w:rsid w:val="00985EC3"/>
    <w:rsid w:val="009B1229"/>
    <w:rsid w:val="009C36EF"/>
    <w:rsid w:val="00A00681"/>
    <w:rsid w:val="00A52808"/>
    <w:rsid w:val="00A7032C"/>
    <w:rsid w:val="00A9224B"/>
    <w:rsid w:val="00A97727"/>
    <w:rsid w:val="00AA0FB4"/>
    <w:rsid w:val="00B31349"/>
    <w:rsid w:val="00B52D45"/>
    <w:rsid w:val="00B75A52"/>
    <w:rsid w:val="00B7686E"/>
    <w:rsid w:val="00BA1B46"/>
    <w:rsid w:val="00BE36E5"/>
    <w:rsid w:val="00BF6FA4"/>
    <w:rsid w:val="00C84DB0"/>
    <w:rsid w:val="00C91C94"/>
    <w:rsid w:val="00CA40EB"/>
    <w:rsid w:val="00D0756C"/>
    <w:rsid w:val="00D3217D"/>
    <w:rsid w:val="00D3674D"/>
    <w:rsid w:val="00D51A9B"/>
    <w:rsid w:val="00D72D3A"/>
    <w:rsid w:val="00E377FA"/>
    <w:rsid w:val="00E41057"/>
    <w:rsid w:val="00E5016B"/>
    <w:rsid w:val="00EA4F06"/>
    <w:rsid w:val="00EB4285"/>
    <w:rsid w:val="00EC4D48"/>
    <w:rsid w:val="00F1782E"/>
    <w:rsid w:val="00FA4EB5"/>
    <w:rsid w:val="00FF1252"/>
    <w:rsid w:val="00FF3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446D7C48"/>
  <w15:docId w15:val="{6F0DE463-8DE6-4E5C-8673-E3BF99F98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36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01CB0"/>
    <w:pPr>
      <w:tabs>
        <w:tab w:val="center" w:pos="4320"/>
        <w:tab w:val="right" w:pos="8640"/>
      </w:tabs>
    </w:pPr>
  </w:style>
  <w:style w:type="paragraph" w:styleId="Footer">
    <w:name w:val="footer"/>
    <w:basedOn w:val="Normal"/>
    <w:semiHidden/>
    <w:rsid w:val="00E01CB0"/>
    <w:pPr>
      <w:tabs>
        <w:tab w:val="center" w:pos="4320"/>
        <w:tab w:val="right" w:pos="8640"/>
      </w:tabs>
    </w:pPr>
  </w:style>
  <w:style w:type="paragraph" w:styleId="BalloonText">
    <w:name w:val="Balloon Text"/>
    <w:basedOn w:val="Normal"/>
    <w:link w:val="BalloonTextChar"/>
    <w:uiPriority w:val="99"/>
    <w:semiHidden/>
    <w:unhideWhenUsed/>
    <w:rsid w:val="00206520"/>
    <w:rPr>
      <w:rFonts w:ascii="Lucida Grande" w:hAnsi="Lucida Grande"/>
      <w:sz w:val="18"/>
      <w:szCs w:val="18"/>
    </w:rPr>
  </w:style>
  <w:style w:type="character" w:customStyle="1" w:styleId="BalloonTextChar">
    <w:name w:val="Balloon Text Char"/>
    <w:basedOn w:val="DefaultParagraphFont"/>
    <w:link w:val="BalloonText"/>
    <w:uiPriority w:val="99"/>
    <w:semiHidden/>
    <w:rsid w:val="00206520"/>
    <w:rPr>
      <w:rFonts w:ascii="Lucida Grande" w:hAnsi="Lucida Grande"/>
      <w:sz w:val="18"/>
      <w:szCs w:val="18"/>
    </w:rPr>
  </w:style>
  <w:style w:type="character" w:styleId="Hyperlink">
    <w:name w:val="Hyperlink"/>
    <w:basedOn w:val="DefaultParagraphFont"/>
    <w:uiPriority w:val="99"/>
    <w:unhideWhenUsed/>
    <w:rsid w:val="00B7686E"/>
    <w:rPr>
      <w:color w:val="0000FF" w:themeColor="hyperlink"/>
      <w:u w:val="single"/>
    </w:rPr>
  </w:style>
  <w:style w:type="paragraph" w:styleId="ListParagraph">
    <w:name w:val="List Paragraph"/>
    <w:basedOn w:val="Normal"/>
    <w:uiPriority w:val="34"/>
    <w:qFormat/>
    <w:rsid w:val="00B7686E"/>
    <w:pPr>
      <w:spacing w:after="200" w:line="276" w:lineRule="auto"/>
      <w:ind w:left="720"/>
      <w:contextualSpacing/>
    </w:pPr>
    <w:rPr>
      <w:rFonts w:asciiTheme="minorHAnsi" w:eastAsiaTheme="minorHAnsi" w:hAnsiTheme="minorHAnsi" w:cstheme="minorBidi"/>
      <w:sz w:val="22"/>
      <w:szCs w:val="22"/>
    </w:rPr>
  </w:style>
  <w:style w:type="paragraph" w:customStyle="1" w:styleId="BasicParagraph">
    <w:name w:val="[Basic Paragraph]"/>
    <w:basedOn w:val="Normal"/>
    <w:uiPriority w:val="99"/>
    <w:rsid w:val="00C84DB0"/>
    <w:pPr>
      <w:autoSpaceDE w:val="0"/>
      <w:autoSpaceDN w:val="0"/>
      <w:adjustRightInd w:val="0"/>
      <w:spacing w:line="288" w:lineRule="auto"/>
      <w:textAlignment w:val="center"/>
    </w:pPr>
    <w:rPr>
      <w:rFonts w:ascii="Minion Pro" w:eastAsiaTheme="minorHAnsi" w:hAnsi="Minion Pro" w:cs="Minion Pro"/>
      <w:color w:val="000000"/>
    </w:rPr>
  </w:style>
  <w:style w:type="character" w:customStyle="1" w:styleId="CharacterStyle1">
    <w:name w:val="Character Style 1"/>
    <w:uiPriority w:val="99"/>
    <w:rsid w:val="00C84DB0"/>
    <w:rPr>
      <w:b/>
      <w:bCs/>
      <w:sz w:val="20"/>
      <w:szCs w:val="20"/>
    </w:rPr>
  </w:style>
  <w:style w:type="character" w:styleId="CommentReference">
    <w:name w:val="annotation reference"/>
    <w:basedOn w:val="DefaultParagraphFont"/>
    <w:uiPriority w:val="99"/>
    <w:semiHidden/>
    <w:unhideWhenUsed/>
    <w:rsid w:val="00193879"/>
    <w:rPr>
      <w:sz w:val="16"/>
      <w:szCs w:val="16"/>
    </w:rPr>
  </w:style>
  <w:style w:type="paragraph" w:styleId="CommentText">
    <w:name w:val="annotation text"/>
    <w:basedOn w:val="Normal"/>
    <w:link w:val="CommentTextChar"/>
    <w:uiPriority w:val="99"/>
    <w:semiHidden/>
    <w:unhideWhenUsed/>
    <w:rsid w:val="00193879"/>
    <w:rPr>
      <w:sz w:val="20"/>
      <w:szCs w:val="20"/>
    </w:rPr>
  </w:style>
  <w:style w:type="character" w:customStyle="1" w:styleId="CommentTextChar">
    <w:name w:val="Comment Text Char"/>
    <w:basedOn w:val="DefaultParagraphFont"/>
    <w:link w:val="CommentText"/>
    <w:uiPriority w:val="99"/>
    <w:semiHidden/>
    <w:rsid w:val="00193879"/>
  </w:style>
  <w:style w:type="paragraph" w:styleId="CommentSubject">
    <w:name w:val="annotation subject"/>
    <w:basedOn w:val="CommentText"/>
    <w:next w:val="CommentText"/>
    <w:link w:val="CommentSubjectChar"/>
    <w:uiPriority w:val="99"/>
    <w:semiHidden/>
    <w:unhideWhenUsed/>
    <w:rsid w:val="00193879"/>
    <w:rPr>
      <w:b/>
      <w:bCs/>
    </w:rPr>
  </w:style>
  <w:style w:type="character" w:customStyle="1" w:styleId="CommentSubjectChar">
    <w:name w:val="Comment Subject Char"/>
    <w:basedOn w:val="CommentTextChar"/>
    <w:link w:val="CommentSubject"/>
    <w:uiPriority w:val="99"/>
    <w:semiHidden/>
    <w:rsid w:val="001938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921362">
      <w:bodyDiv w:val="1"/>
      <w:marLeft w:val="0"/>
      <w:marRight w:val="0"/>
      <w:marTop w:val="0"/>
      <w:marBottom w:val="0"/>
      <w:divBdr>
        <w:top w:val="none" w:sz="0" w:space="0" w:color="auto"/>
        <w:left w:val="none" w:sz="0" w:space="0" w:color="auto"/>
        <w:bottom w:val="none" w:sz="0" w:space="0" w:color="auto"/>
        <w:right w:val="none" w:sz="0" w:space="0" w:color="auto"/>
      </w:divBdr>
    </w:div>
    <w:div w:id="162630466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DOL.ChildLaborLaw@illinoi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4D0CCA737942346857BB3E18F60E2C6" ma:contentTypeVersion="3" ma:contentTypeDescription="Create a new document." ma:contentTypeScope="" ma:versionID="f7e60db23923f60220d1eea3d1b58d3c">
  <xsd:schema xmlns:xsd="http://www.w3.org/2001/XMLSchema" xmlns:xs="http://www.w3.org/2001/XMLSchema" xmlns:p="http://schemas.microsoft.com/office/2006/metadata/properties" xmlns:ns1="http://schemas.microsoft.com/sharepoint/v3" targetNamespace="http://schemas.microsoft.com/office/2006/metadata/properties" ma:root="true" ma:fieldsID="f5b84057ac1a6396c314166bcbef15d9"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RoutingRuleDescrip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RoutingRuleDescription" ma:index="10" ma:displayName="Description" ma:internalName="RoutingRuleDescrip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RoutingRuleDescription xmlns="http://schemas.microsoft.com/sharepoint/v3">child labor report</RoutingRuleDescription>
    <PublishingStartDate xmlns="http://schemas.microsoft.com/sharepoint/v3" xsi:nil="true"/>
  </documentManagement>
</p:properties>
</file>

<file path=customXml/itemProps1.xml><?xml version="1.0" encoding="utf-8"?>
<ds:datastoreItem xmlns:ds="http://schemas.openxmlformats.org/officeDocument/2006/customXml" ds:itemID="{BDA70790-DCF7-4FBD-8A06-28EA854E5254}">
  <ds:schemaRefs>
    <ds:schemaRef ds:uri="http://schemas.openxmlformats.org/officeDocument/2006/bibliography"/>
  </ds:schemaRefs>
</ds:datastoreItem>
</file>

<file path=customXml/itemProps2.xml><?xml version="1.0" encoding="utf-8"?>
<ds:datastoreItem xmlns:ds="http://schemas.openxmlformats.org/officeDocument/2006/customXml" ds:itemID="{AEB353AB-1970-45C3-B872-BE76540096EC}"/>
</file>

<file path=customXml/itemProps3.xml><?xml version="1.0" encoding="utf-8"?>
<ds:datastoreItem xmlns:ds="http://schemas.openxmlformats.org/officeDocument/2006/customXml" ds:itemID="{CB18784C-C1D1-4201-91A7-C45D7584B49F}"/>
</file>

<file path=customXml/itemProps4.xml><?xml version="1.0" encoding="utf-8"?>
<ds:datastoreItem xmlns:ds="http://schemas.openxmlformats.org/officeDocument/2006/customXml" ds:itemID="{2C0C3015-B3A6-4F9E-B19A-1F5F9770F870}"/>
</file>

<file path=docProps/app.xml><?xml version="1.0" encoding="utf-8"?>
<Properties xmlns="http://schemas.openxmlformats.org/officeDocument/2006/extended-properties" xmlns:vt="http://schemas.openxmlformats.org/officeDocument/2006/docPropsVTypes">
  <Template>644B742.dotm</Template>
  <TotalTime>1</TotalTime>
  <Pages>2</Pages>
  <Words>415</Words>
  <Characters>2525</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On behalf of _______________, I, __________________, am writing this letter in support of Veterans Green Jobs and their ongoing</vt:lpstr>
    </vt:vector>
  </TitlesOfParts>
  <Company>State of Illinois</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Child Labor Annual Report</dc:title>
  <dc:creator>jessie.casamajor</dc:creator>
  <cp:lastModifiedBy>Keller, Jason</cp:lastModifiedBy>
  <cp:revision>2</cp:revision>
  <cp:lastPrinted>2019-12-27T17:23:00Z</cp:lastPrinted>
  <dcterms:created xsi:type="dcterms:W3CDTF">2019-12-27T17:32:00Z</dcterms:created>
  <dcterms:modified xsi:type="dcterms:W3CDTF">2019-12-27T17:32:00Z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0x01010094D0CCA737942346857BB3E18F60E2C6</vt:lpwstr>
  </property>
</Properties>
</file>